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76" w:rsidRDefault="00643E76" w:rsidP="002F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03222DB0" wp14:editId="513F6C30">
            <wp:extent cx="4448175" cy="1419791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0007" cy="142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E76" w:rsidRDefault="00643E76" w:rsidP="002F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  <w:sz w:val="20"/>
          <w:szCs w:val="20"/>
          <w:lang w:eastAsia="pl-PL"/>
        </w:rPr>
      </w:pPr>
    </w:p>
    <w:p w:rsidR="00643E76" w:rsidRDefault="00643E76" w:rsidP="002F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  <w:sz w:val="20"/>
          <w:szCs w:val="20"/>
          <w:lang w:eastAsia="pl-PL"/>
        </w:rPr>
      </w:pPr>
    </w:p>
    <w:p w:rsidR="002F3479" w:rsidRDefault="002F3479" w:rsidP="002F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  <w:sz w:val="20"/>
          <w:szCs w:val="20"/>
          <w:lang w:eastAsia="pl-PL"/>
        </w:rPr>
      </w:pPr>
      <w:r>
        <w:rPr>
          <w:rFonts w:eastAsia="Times New Roman" w:cstheme="minorHAnsi"/>
          <w:b/>
          <w:color w:val="212121"/>
          <w:sz w:val="20"/>
          <w:szCs w:val="20"/>
          <w:lang w:eastAsia="pl-PL"/>
        </w:rPr>
        <w:t>R</w:t>
      </w:r>
      <w:r w:rsidRPr="002F3479">
        <w:rPr>
          <w:rFonts w:eastAsia="Times New Roman" w:cstheme="minorHAnsi"/>
          <w:b/>
          <w:color w:val="212121"/>
          <w:sz w:val="20"/>
          <w:szCs w:val="20"/>
          <w:lang w:eastAsia="pl-PL"/>
        </w:rPr>
        <w:t>OZWÓJ, PROMOCJA I ZRÓWNOWAŻONE ZARZĄDZANIE REGIONEM MORZA BAŁTYCKIEGO JAKO MIEJSC</w:t>
      </w:r>
      <w:r>
        <w:rPr>
          <w:rFonts w:eastAsia="Times New Roman" w:cstheme="minorHAnsi"/>
          <w:b/>
          <w:color w:val="212121"/>
          <w:sz w:val="20"/>
          <w:szCs w:val="20"/>
          <w:lang w:eastAsia="pl-PL"/>
        </w:rPr>
        <w:t>E</w:t>
      </w:r>
      <w:r w:rsidRPr="002F3479">
        <w:rPr>
          <w:rFonts w:eastAsia="Times New Roman" w:cstheme="minorHAnsi"/>
          <w:b/>
          <w:color w:val="212121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color w:val="212121"/>
          <w:sz w:val="20"/>
          <w:szCs w:val="20"/>
          <w:lang w:eastAsia="pl-PL"/>
        </w:rPr>
        <w:t>WĘDKARSTWA TURYSTYCZNEGO</w:t>
      </w:r>
      <w:r w:rsidRPr="002F3479">
        <w:rPr>
          <w:rFonts w:eastAsia="Times New Roman" w:cstheme="minorHAnsi"/>
          <w:b/>
          <w:color w:val="212121"/>
          <w:sz w:val="20"/>
          <w:szCs w:val="20"/>
          <w:lang w:eastAsia="pl-PL"/>
        </w:rPr>
        <w:t xml:space="preserve"> (RETROUT)</w:t>
      </w:r>
    </w:p>
    <w:p w:rsidR="002F3479" w:rsidRPr="002F3479" w:rsidRDefault="002F3479" w:rsidP="002F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12121"/>
          <w:sz w:val="20"/>
          <w:szCs w:val="20"/>
          <w:lang w:eastAsia="pl-PL"/>
        </w:rPr>
      </w:pPr>
    </w:p>
    <w:p w:rsidR="002F3479" w:rsidRPr="002F3479" w:rsidRDefault="002F3479" w:rsidP="002F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0"/>
          <w:szCs w:val="20"/>
          <w:lang w:eastAsia="pl-PL"/>
        </w:rPr>
      </w:pPr>
      <w:r w:rsidRPr="002F3479">
        <w:rPr>
          <w:rFonts w:eastAsia="Times New Roman" w:cstheme="minorHAnsi"/>
          <w:b/>
          <w:color w:val="212121"/>
          <w:sz w:val="20"/>
          <w:szCs w:val="20"/>
          <w:lang w:eastAsia="pl-PL"/>
        </w:rPr>
        <w:t>Czas trwania:</w:t>
      </w:r>
      <w:r w:rsidRPr="002F3479">
        <w:rPr>
          <w:rFonts w:eastAsia="Times New Roman" w:cstheme="minorHAnsi"/>
          <w:color w:val="212121"/>
          <w:sz w:val="20"/>
          <w:szCs w:val="20"/>
          <w:lang w:eastAsia="pl-PL"/>
        </w:rPr>
        <w:t xml:space="preserve"> październik 2017 r. - wrzesień 2020 r</w:t>
      </w:r>
    </w:p>
    <w:p w:rsidR="002F3479" w:rsidRPr="002F3479" w:rsidRDefault="002F3479" w:rsidP="002F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lang w:eastAsia="pl-PL"/>
        </w:rPr>
      </w:pPr>
    </w:p>
    <w:p w:rsidR="002F3479" w:rsidRPr="002F3479" w:rsidRDefault="002F3479" w:rsidP="002F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lang w:eastAsia="pl-PL"/>
        </w:rPr>
      </w:pPr>
      <w:r w:rsidRPr="002F3479">
        <w:rPr>
          <w:rFonts w:eastAsia="Times New Roman" w:cstheme="minorHAnsi"/>
          <w:b/>
          <w:color w:val="212121"/>
          <w:lang w:eastAsia="pl-PL"/>
        </w:rPr>
        <w:t>Partnerzy</w:t>
      </w:r>
      <w:r w:rsidRPr="002F3479">
        <w:rPr>
          <w:rFonts w:eastAsia="Times New Roman" w:cstheme="minorHAnsi"/>
          <w:color w:val="212121"/>
          <w:lang w:eastAsia="pl-PL"/>
        </w:rPr>
        <w:t xml:space="preserve">: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County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Administrative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Board in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Stockholm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,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Royal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Institute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of Technology and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Haninge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municipality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in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Sweden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,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Baltic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Environmental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Forum Estonia, University of Tartu and NGO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Estonian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Fishing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Tourism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in Estonia,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Kurzeme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Planning Region,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Institute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of Food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Safety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,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Animal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Health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and Environment - “BIOR” and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Ventspils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Regional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Municipality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in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Latvia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,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Klaipeda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University and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Fishery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service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under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the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ministry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of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Agriculture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of the republic of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Lithuania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in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Lithuania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,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National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Marine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Fisheries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Research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Institute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and EU-CONSULT Sp. z o.o. in Poland and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Baltic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Marine Environment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Protection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Commission</w:t>
      </w:r>
      <w:proofErr w:type="spellEnd"/>
      <w:r w:rsidRPr="002F3479">
        <w:rPr>
          <w:rFonts w:eastAsia="Times New Roman" w:cstheme="minorHAnsi"/>
          <w:color w:val="333333"/>
          <w:lang w:eastAsia="pl-PL"/>
        </w:rPr>
        <w:t xml:space="preserve"> HELCOM in </w:t>
      </w:r>
      <w:proofErr w:type="spellStart"/>
      <w:r w:rsidRPr="002F3479">
        <w:rPr>
          <w:rFonts w:eastAsia="Times New Roman" w:cstheme="minorHAnsi"/>
          <w:color w:val="333333"/>
          <w:lang w:eastAsia="pl-PL"/>
        </w:rPr>
        <w:t>Finland</w:t>
      </w:r>
      <w:proofErr w:type="spellEnd"/>
    </w:p>
    <w:p w:rsidR="002F3479" w:rsidRPr="002F3479" w:rsidRDefault="002F3479" w:rsidP="002F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lang w:eastAsia="pl-PL"/>
        </w:rPr>
      </w:pPr>
    </w:p>
    <w:p w:rsidR="002F3479" w:rsidRDefault="002F3479" w:rsidP="002F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lang w:eastAsia="pl-PL"/>
        </w:rPr>
      </w:pPr>
      <w:r w:rsidRPr="002F3479">
        <w:rPr>
          <w:rFonts w:eastAsia="Times New Roman" w:cstheme="minorHAnsi"/>
          <w:b/>
          <w:color w:val="212121"/>
          <w:lang w:eastAsia="pl-PL"/>
        </w:rPr>
        <w:t>Całkowity budżet:</w:t>
      </w:r>
      <w:r w:rsidRPr="002F3479">
        <w:rPr>
          <w:rFonts w:eastAsia="Times New Roman" w:cstheme="minorHAnsi"/>
          <w:color w:val="212121"/>
          <w:lang w:eastAsia="pl-PL"/>
        </w:rPr>
        <w:t xml:space="preserve"> 3 221 336,40 EUR</w:t>
      </w:r>
    </w:p>
    <w:p w:rsidR="002F3479" w:rsidRPr="002F3479" w:rsidRDefault="002F3479" w:rsidP="002F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lang w:eastAsia="pl-PL"/>
        </w:rPr>
      </w:pPr>
    </w:p>
    <w:p w:rsidR="002F3479" w:rsidRDefault="002F3479" w:rsidP="002F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lang w:eastAsia="pl-PL"/>
        </w:rPr>
      </w:pPr>
      <w:r w:rsidRPr="002F3479">
        <w:rPr>
          <w:rFonts w:eastAsia="Times New Roman" w:cstheme="minorHAnsi"/>
          <w:b/>
          <w:color w:val="212121"/>
          <w:lang w:eastAsia="pl-PL"/>
        </w:rPr>
        <w:t>Europejski Fundusz Rozwoju Regionalnego</w:t>
      </w:r>
      <w:r w:rsidRPr="002F3479">
        <w:rPr>
          <w:rFonts w:eastAsia="Times New Roman" w:cstheme="minorHAnsi"/>
          <w:color w:val="212121"/>
          <w:lang w:eastAsia="pl-PL"/>
        </w:rPr>
        <w:t>: 2 620 216,21 EUR</w:t>
      </w:r>
    </w:p>
    <w:p w:rsidR="002F3479" w:rsidRPr="002F3479" w:rsidRDefault="002F3479" w:rsidP="002F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lang w:eastAsia="pl-PL"/>
        </w:rPr>
      </w:pPr>
    </w:p>
    <w:p w:rsidR="002F3479" w:rsidRDefault="002F3479" w:rsidP="002F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lang w:eastAsia="pl-PL"/>
        </w:rPr>
      </w:pPr>
      <w:r w:rsidRPr="002F3479">
        <w:rPr>
          <w:rFonts w:eastAsia="Times New Roman" w:cstheme="minorHAnsi"/>
          <w:b/>
          <w:color w:val="212121"/>
          <w:lang w:eastAsia="pl-PL"/>
        </w:rPr>
        <w:t>Numer projektu:</w:t>
      </w:r>
      <w:r>
        <w:rPr>
          <w:rFonts w:eastAsia="Times New Roman" w:cstheme="minorHAnsi"/>
          <w:color w:val="212121"/>
          <w:lang w:eastAsia="pl-PL"/>
        </w:rPr>
        <w:t xml:space="preserve"> #</w:t>
      </w:r>
      <w:r w:rsidRPr="002F3479">
        <w:rPr>
          <w:rFonts w:eastAsia="Times New Roman" w:cstheme="minorHAnsi"/>
          <w:color w:val="212121"/>
          <w:lang w:eastAsia="pl-PL"/>
        </w:rPr>
        <w:t>R065</w:t>
      </w:r>
    </w:p>
    <w:p w:rsidR="002F3479" w:rsidRPr="002F3479" w:rsidRDefault="002F3479" w:rsidP="002F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lang w:eastAsia="pl-PL"/>
        </w:rPr>
      </w:pPr>
    </w:p>
    <w:p w:rsidR="002F3479" w:rsidRPr="002F3479" w:rsidRDefault="002F3479" w:rsidP="002F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212121"/>
          <w:lang w:eastAsia="pl-PL"/>
        </w:rPr>
      </w:pPr>
      <w:r w:rsidRPr="002F3479">
        <w:rPr>
          <w:rFonts w:eastAsia="Times New Roman" w:cstheme="minorHAnsi"/>
          <w:b/>
          <w:color w:val="212121"/>
          <w:lang w:eastAsia="pl-PL"/>
        </w:rPr>
        <w:t>Informacje o projekcie:</w:t>
      </w:r>
    </w:p>
    <w:p w:rsidR="002F3479" w:rsidRDefault="002F3479" w:rsidP="002F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lang w:eastAsia="pl-PL"/>
        </w:rPr>
      </w:pPr>
      <w:r w:rsidRPr="002F3479">
        <w:rPr>
          <w:rFonts w:eastAsia="Times New Roman" w:cstheme="minorHAnsi"/>
          <w:color w:val="212121"/>
          <w:lang w:eastAsia="pl-PL"/>
        </w:rPr>
        <w:t>Branża rybołówstwa przybrzeżnego w regionie Morza Bałtyckiego została uznana za sektor o dużym potencjale wzrostu i rozwoju stabilnych miejsc pracy. Oferuje  on możliwości powstania nowych miejsc pracy na wsi, dywersyfikację sektora rybołówstwa i przedłużony sezon turystyczny. Aby jednak w pełni wykorzystać potencjał gospodarczy tego obszaru, należy zająć się kluczowymi wyzwaniami, które obec</w:t>
      </w:r>
      <w:r>
        <w:rPr>
          <w:rFonts w:eastAsia="Times New Roman" w:cstheme="minorHAnsi"/>
          <w:color w:val="212121"/>
          <w:lang w:eastAsia="pl-PL"/>
        </w:rPr>
        <w:t>nie ograniczają rozwój sektora:</w:t>
      </w:r>
    </w:p>
    <w:p w:rsidR="002F3479" w:rsidRPr="002F3479" w:rsidRDefault="002F3479" w:rsidP="002F3479">
      <w:pPr>
        <w:pStyle w:val="Akapitzlist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lang w:eastAsia="pl-PL"/>
        </w:rPr>
      </w:pPr>
      <w:r w:rsidRPr="002F3479">
        <w:rPr>
          <w:rFonts w:cstheme="minorHAnsi"/>
          <w:color w:val="212121"/>
          <w:shd w:val="clear" w:color="auto" w:fill="FFFFFF"/>
        </w:rPr>
        <w:t>Słaby potencjał sektora turystyki rybackiej</w:t>
      </w:r>
      <w:r>
        <w:rPr>
          <w:rFonts w:cstheme="minorHAnsi"/>
          <w:color w:val="212121"/>
          <w:shd w:val="clear" w:color="auto" w:fill="FFFFFF"/>
        </w:rPr>
        <w:t xml:space="preserve">: </w:t>
      </w:r>
      <w:r w:rsidRPr="002F3479">
        <w:rPr>
          <w:rFonts w:cstheme="minorHAnsi"/>
          <w:color w:val="212121"/>
          <w:shd w:val="clear" w:color="auto" w:fill="FFFFFF"/>
        </w:rPr>
        <w:t>celu</w:t>
      </w:r>
      <w:r>
        <w:rPr>
          <w:rFonts w:cstheme="minorHAnsi"/>
          <w:color w:val="212121"/>
          <w:shd w:val="clear" w:color="auto" w:fill="FFFFFF"/>
        </w:rPr>
        <w:t xml:space="preserve"> - </w:t>
      </w:r>
      <w:r w:rsidRPr="002F3479">
        <w:rPr>
          <w:rFonts w:cstheme="minorHAnsi"/>
          <w:color w:val="212121"/>
          <w:shd w:val="clear" w:color="auto" w:fill="FFFFFF"/>
        </w:rPr>
        <w:t xml:space="preserve"> </w:t>
      </w:r>
      <w:r>
        <w:rPr>
          <w:rFonts w:cstheme="minorHAnsi"/>
          <w:color w:val="212121"/>
          <w:shd w:val="clear" w:color="auto" w:fill="FFFFFF"/>
        </w:rPr>
        <w:t>zaspokojenie popytu klientów;</w:t>
      </w:r>
    </w:p>
    <w:p w:rsidR="002F3479" w:rsidRPr="002F3479" w:rsidRDefault="002F3479" w:rsidP="002F3479">
      <w:pPr>
        <w:pStyle w:val="Akapitzlist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lang w:eastAsia="pl-PL"/>
        </w:rPr>
      </w:pPr>
      <w:r w:rsidRPr="002F3479">
        <w:rPr>
          <w:rFonts w:cstheme="minorHAnsi"/>
          <w:color w:val="212121"/>
          <w:shd w:val="clear" w:color="auto" w:fill="FFFFFF"/>
        </w:rPr>
        <w:t>Słabe ramy zarządzania, które w wielu przypadkach przynoszą efekt przeciwny do zamierzonego w p</w:t>
      </w:r>
      <w:r>
        <w:rPr>
          <w:rFonts w:cstheme="minorHAnsi"/>
          <w:color w:val="212121"/>
          <w:shd w:val="clear" w:color="auto" w:fill="FFFFFF"/>
        </w:rPr>
        <w:t>rzypadku turystyki rybackiej;</w:t>
      </w:r>
    </w:p>
    <w:p w:rsidR="002F3479" w:rsidRPr="002F3479" w:rsidRDefault="002F3479" w:rsidP="002F3479">
      <w:pPr>
        <w:pStyle w:val="Akapitzlist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lang w:eastAsia="pl-PL"/>
        </w:rPr>
      </w:pPr>
      <w:r w:rsidRPr="002F3479">
        <w:rPr>
          <w:rFonts w:cstheme="minorHAnsi"/>
          <w:color w:val="212121"/>
          <w:shd w:val="clear" w:color="auto" w:fill="FFFFFF"/>
        </w:rPr>
        <w:t>Słabe zarz</w:t>
      </w:r>
      <w:r>
        <w:rPr>
          <w:rFonts w:cstheme="minorHAnsi"/>
          <w:color w:val="212121"/>
          <w:shd w:val="clear" w:color="auto" w:fill="FFFFFF"/>
        </w:rPr>
        <w:t>ądzanie usługami ekosystemowymi: cel</w:t>
      </w:r>
      <w:r w:rsidRPr="002F3479">
        <w:rPr>
          <w:rFonts w:cstheme="minorHAnsi"/>
          <w:color w:val="212121"/>
          <w:shd w:val="clear" w:color="auto" w:fill="FFFFFF"/>
        </w:rPr>
        <w:t xml:space="preserve"> </w:t>
      </w:r>
      <w:r>
        <w:rPr>
          <w:rFonts w:cstheme="minorHAnsi"/>
          <w:color w:val="212121"/>
          <w:shd w:val="clear" w:color="auto" w:fill="FFFFFF"/>
        </w:rPr>
        <w:t>- wsparcie</w:t>
      </w:r>
      <w:r w:rsidRPr="002F3479">
        <w:rPr>
          <w:rFonts w:cstheme="minorHAnsi"/>
          <w:color w:val="212121"/>
          <w:shd w:val="clear" w:color="auto" w:fill="FFFFFF"/>
        </w:rPr>
        <w:t xml:space="preserve"> branży turystyki rybackiej.</w:t>
      </w:r>
    </w:p>
    <w:p w:rsidR="007E3F82" w:rsidRDefault="007E3F82"/>
    <w:p w:rsidR="002F3479" w:rsidRDefault="002F3479" w:rsidP="002F3479">
      <w:pPr>
        <w:pStyle w:val="HTML-wstpniesformatowany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2F3479">
        <w:rPr>
          <w:rFonts w:asciiTheme="minorHAnsi" w:hAnsiTheme="minorHAnsi" w:cstheme="minorHAnsi"/>
          <w:color w:val="212121"/>
          <w:sz w:val="22"/>
          <w:szCs w:val="22"/>
        </w:rPr>
        <w:t xml:space="preserve">Celem projektu jest umożliwienie grupom docelowym rozwoju i promocji zrównoważonej turystyki połowów przybrzeżnych, a jednocześnie przyspieszenie zintegrowanej realizacji zaleceń dotyczących </w:t>
      </w:r>
      <w:r>
        <w:rPr>
          <w:rFonts w:asciiTheme="minorHAnsi" w:hAnsiTheme="minorHAnsi" w:cstheme="minorHAnsi"/>
          <w:color w:val="212121"/>
          <w:sz w:val="22"/>
          <w:szCs w:val="22"/>
        </w:rPr>
        <w:t>CFP</w:t>
      </w:r>
      <w:r w:rsidRPr="002F3479">
        <w:rPr>
          <w:rFonts w:asciiTheme="minorHAnsi" w:hAnsiTheme="minorHAnsi" w:cstheme="minorHAnsi"/>
          <w:color w:val="212121"/>
          <w:sz w:val="22"/>
          <w:szCs w:val="22"/>
        </w:rPr>
        <w:t>, WFD, MSF</w:t>
      </w:r>
      <w:r>
        <w:rPr>
          <w:rFonts w:asciiTheme="minorHAnsi" w:hAnsiTheme="minorHAnsi" w:cstheme="minorHAnsi"/>
          <w:color w:val="212121"/>
          <w:sz w:val="22"/>
          <w:szCs w:val="22"/>
        </w:rPr>
        <w:t>D i HELCOM, poprzez zajęcie się</w:t>
      </w:r>
      <w:r w:rsidRPr="002F3479">
        <w:rPr>
          <w:rFonts w:asciiTheme="minorHAnsi" w:hAnsiTheme="minorHAnsi" w:cstheme="minorHAnsi"/>
          <w:color w:val="212121"/>
          <w:sz w:val="22"/>
          <w:szCs w:val="22"/>
        </w:rPr>
        <w:t xml:space="preserve"> kluczowymi wyzwaniam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i regionu. </w:t>
      </w:r>
      <w:r w:rsidRPr="002F3479">
        <w:rPr>
          <w:rFonts w:asciiTheme="minorHAnsi" w:hAnsiTheme="minorHAnsi" w:cstheme="minorHAnsi"/>
          <w:color w:val="212121"/>
          <w:sz w:val="22"/>
          <w:szCs w:val="22"/>
        </w:rPr>
        <w:t>Grupy docelowe, zidentyfikowane jako pomocne w stymulowaniu tego sek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tora turystyki </w:t>
      </w:r>
      <w:r w:rsidRPr="002F3479">
        <w:rPr>
          <w:rFonts w:asciiTheme="minorHAnsi" w:hAnsiTheme="minorHAnsi" w:cstheme="minorHAnsi"/>
          <w:color w:val="212121"/>
          <w:sz w:val="22"/>
          <w:szCs w:val="22"/>
        </w:rPr>
        <w:t>to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 sektor</w:t>
      </w:r>
      <w:r w:rsidRPr="002F3479">
        <w:rPr>
          <w:rFonts w:asciiTheme="minorHAnsi" w:hAnsiTheme="minorHAnsi" w:cstheme="minorHAnsi"/>
          <w:color w:val="212121"/>
          <w:sz w:val="22"/>
          <w:szCs w:val="22"/>
        </w:rPr>
        <w:t xml:space="preserve"> MŚP (dostawcy usług wędkarstwa sportowego, przewodnicy wędkarscy) i ich stowarzyszenia, władze regionalne, gminy nadbrzeżne i rady turystyczne.</w:t>
      </w:r>
    </w:p>
    <w:p w:rsidR="002F3479" w:rsidRDefault="002F3479" w:rsidP="002F3479">
      <w:pPr>
        <w:pStyle w:val="HTML-wstpniesformatowany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2F3479" w:rsidRDefault="002F3479" w:rsidP="002F3479">
      <w:pPr>
        <w:pStyle w:val="HTML-wstpniesformatowany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</w:rPr>
      </w:pPr>
      <w:r w:rsidRPr="002F3479">
        <w:rPr>
          <w:rFonts w:asciiTheme="minorHAnsi" w:hAnsiTheme="minorHAnsi" w:cstheme="minorHAnsi"/>
          <w:color w:val="212121"/>
          <w:sz w:val="22"/>
        </w:rPr>
        <w:t xml:space="preserve">Te grupy docelowe skorzystają z głównych wyników projektu, </w:t>
      </w:r>
      <w:r>
        <w:rPr>
          <w:rFonts w:asciiTheme="minorHAnsi" w:hAnsiTheme="minorHAnsi" w:cstheme="minorHAnsi"/>
          <w:color w:val="212121"/>
          <w:sz w:val="22"/>
        </w:rPr>
        <w:t>którymi są</w:t>
      </w:r>
      <w:r w:rsidRPr="002F3479">
        <w:rPr>
          <w:rFonts w:asciiTheme="minorHAnsi" w:hAnsiTheme="minorHAnsi" w:cstheme="minorHAnsi"/>
          <w:color w:val="212121"/>
          <w:sz w:val="22"/>
        </w:rPr>
        <w:t>.:</w:t>
      </w:r>
    </w:p>
    <w:p w:rsidR="002F3479" w:rsidRDefault="002F3479" w:rsidP="002F3479">
      <w:pPr>
        <w:pStyle w:val="HTML-wstpniesformatowany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</w:rPr>
      </w:pPr>
      <w:r w:rsidRPr="002F3479">
        <w:rPr>
          <w:rFonts w:asciiTheme="minorHAnsi" w:hAnsiTheme="minorHAnsi" w:cstheme="minorHAnsi"/>
          <w:color w:val="212121"/>
          <w:sz w:val="22"/>
        </w:rPr>
        <w:t xml:space="preserve">STRATEGICZNE PLANY ROZWOJU DLA </w:t>
      </w:r>
      <w:r>
        <w:rPr>
          <w:rFonts w:asciiTheme="minorHAnsi" w:hAnsiTheme="minorHAnsi" w:cstheme="minorHAnsi"/>
          <w:color w:val="212121"/>
          <w:sz w:val="22"/>
        </w:rPr>
        <w:t>NOWYCH PRODUKTÓW TURYSTYCZNYCH</w:t>
      </w:r>
      <w:r w:rsidRPr="002F3479">
        <w:rPr>
          <w:rFonts w:asciiTheme="minorHAnsi" w:hAnsiTheme="minorHAnsi" w:cstheme="minorHAnsi"/>
          <w:color w:val="212121"/>
          <w:sz w:val="22"/>
        </w:rPr>
        <w:t xml:space="preserve"> </w:t>
      </w:r>
      <w:r>
        <w:rPr>
          <w:rFonts w:asciiTheme="minorHAnsi" w:hAnsiTheme="minorHAnsi" w:cstheme="minorHAnsi"/>
          <w:color w:val="212121"/>
          <w:sz w:val="22"/>
        </w:rPr>
        <w:t>W</w:t>
      </w:r>
      <w:r w:rsidRPr="002F3479">
        <w:rPr>
          <w:rFonts w:asciiTheme="minorHAnsi" w:hAnsiTheme="minorHAnsi" w:cstheme="minorHAnsi"/>
          <w:color w:val="212121"/>
          <w:sz w:val="22"/>
        </w:rPr>
        <w:t xml:space="preserve"> 5 DEMONSTRACYJNYCH</w:t>
      </w:r>
      <w:r>
        <w:rPr>
          <w:rFonts w:asciiTheme="minorHAnsi" w:hAnsiTheme="minorHAnsi" w:cstheme="minorHAnsi"/>
          <w:color w:val="212121"/>
          <w:sz w:val="22"/>
        </w:rPr>
        <w:t xml:space="preserve"> LOKALIZACJACH</w:t>
      </w:r>
      <w:r w:rsidRPr="002F3479">
        <w:rPr>
          <w:rFonts w:asciiTheme="minorHAnsi" w:hAnsiTheme="minorHAnsi" w:cstheme="minorHAnsi"/>
          <w:color w:val="212121"/>
          <w:sz w:val="22"/>
        </w:rPr>
        <w:t xml:space="preserve">, które mają być wykorzystywane jako dokumenty </w:t>
      </w:r>
      <w:r w:rsidRPr="002F3479">
        <w:rPr>
          <w:rFonts w:asciiTheme="minorHAnsi" w:hAnsiTheme="minorHAnsi" w:cstheme="minorHAnsi"/>
          <w:color w:val="212121"/>
          <w:sz w:val="22"/>
        </w:rPr>
        <w:lastRenderedPageBreak/>
        <w:t>planistyczne dla działań podprojektowych oraz w celu przyciągnięcia nowych zasobów fi</w:t>
      </w:r>
      <w:r>
        <w:rPr>
          <w:rFonts w:asciiTheme="minorHAnsi" w:hAnsiTheme="minorHAnsi" w:cstheme="minorHAnsi"/>
          <w:color w:val="212121"/>
          <w:sz w:val="22"/>
        </w:rPr>
        <w:t>nansowych przez lokalne klastry;</w:t>
      </w:r>
    </w:p>
    <w:p w:rsidR="002F3479" w:rsidRDefault="002F3479" w:rsidP="002F3479">
      <w:pPr>
        <w:pStyle w:val="HTML-wstpniesformatowany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</w:rPr>
      </w:pPr>
      <w:r>
        <w:rPr>
          <w:rFonts w:asciiTheme="minorHAnsi" w:hAnsiTheme="minorHAnsi" w:cstheme="minorHAnsi"/>
          <w:color w:val="212121"/>
          <w:sz w:val="22"/>
        </w:rPr>
        <w:t xml:space="preserve">MODELOWY </w:t>
      </w:r>
      <w:r w:rsidRPr="002F3479">
        <w:rPr>
          <w:rFonts w:asciiTheme="minorHAnsi" w:hAnsiTheme="minorHAnsi" w:cstheme="minorHAnsi"/>
          <w:color w:val="212121"/>
          <w:sz w:val="22"/>
        </w:rPr>
        <w:t xml:space="preserve">PROCES ROZWOJU </w:t>
      </w:r>
      <w:r>
        <w:rPr>
          <w:rFonts w:asciiTheme="minorHAnsi" w:hAnsiTheme="minorHAnsi" w:cstheme="minorHAnsi"/>
          <w:color w:val="212121"/>
          <w:sz w:val="22"/>
        </w:rPr>
        <w:t>LOKALIZACJI TURYSTCZNYCH</w:t>
      </w:r>
      <w:r w:rsidRPr="002F3479">
        <w:rPr>
          <w:rFonts w:asciiTheme="minorHAnsi" w:hAnsiTheme="minorHAnsi" w:cstheme="minorHAnsi"/>
          <w:color w:val="212121"/>
          <w:sz w:val="22"/>
        </w:rPr>
        <w:t xml:space="preserve"> DLA </w:t>
      </w:r>
      <w:r>
        <w:rPr>
          <w:rFonts w:asciiTheme="minorHAnsi" w:hAnsiTheme="minorHAnsi" w:cstheme="minorHAnsi"/>
          <w:color w:val="212121"/>
          <w:sz w:val="22"/>
        </w:rPr>
        <w:t xml:space="preserve">WĘDKARSTWA </w:t>
      </w:r>
      <w:r w:rsidRPr="002F3479">
        <w:rPr>
          <w:rFonts w:asciiTheme="minorHAnsi" w:hAnsiTheme="minorHAnsi" w:cstheme="minorHAnsi"/>
          <w:color w:val="212121"/>
          <w:sz w:val="22"/>
        </w:rPr>
        <w:t>RYBACKIEGO, który ma być wykorzystany jako produkt edukacyjny przez kluczowe grupy docelowe - stowarzyszenia rybackie</w:t>
      </w:r>
      <w:r>
        <w:rPr>
          <w:rFonts w:asciiTheme="minorHAnsi" w:hAnsiTheme="minorHAnsi" w:cstheme="minorHAnsi"/>
          <w:color w:val="212121"/>
          <w:sz w:val="22"/>
        </w:rPr>
        <w:t xml:space="preserve"> / rybackie i gminy przybrzeżne;</w:t>
      </w:r>
    </w:p>
    <w:p w:rsidR="00643E76" w:rsidRDefault="002F3479" w:rsidP="00643E76">
      <w:pPr>
        <w:pStyle w:val="HTML-wstpniesformatowany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</w:rPr>
      </w:pPr>
      <w:r>
        <w:rPr>
          <w:rFonts w:asciiTheme="minorHAnsi" w:hAnsiTheme="minorHAnsi" w:cstheme="minorHAnsi"/>
          <w:color w:val="212121"/>
          <w:sz w:val="22"/>
        </w:rPr>
        <w:t>USŁUGI</w:t>
      </w:r>
      <w:r w:rsidRPr="002F3479">
        <w:rPr>
          <w:rFonts w:asciiTheme="minorHAnsi" w:hAnsiTheme="minorHAnsi" w:cstheme="minorHAnsi"/>
          <w:color w:val="212121"/>
          <w:sz w:val="22"/>
        </w:rPr>
        <w:t xml:space="preserve"> ZARZĄDZANIA </w:t>
      </w:r>
      <w:r w:rsidR="00643E76">
        <w:rPr>
          <w:rFonts w:asciiTheme="minorHAnsi" w:hAnsiTheme="minorHAnsi" w:cstheme="minorHAnsi"/>
          <w:color w:val="212121"/>
          <w:sz w:val="22"/>
        </w:rPr>
        <w:t>LOKALIZACJAMI TURYSTYCZNYMI TROCI BAŁTYCKIEJ to w</w:t>
      </w:r>
      <w:r w:rsidRPr="002F3479">
        <w:rPr>
          <w:rFonts w:asciiTheme="minorHAnsi" w:hAnsiTheme="minorHAnsi" w:cstheme="minorHAnsi"/>
          <w:color w:val="212121"/>
          <w:sz w:val="22"/>
        </w:rPr>
        <w:t xml:space="preserve">spólne oznakowanie ekologiczne i portal internetowy do usług </w:t>
      </w:r>
      <w:r w:rsidR="00643E76" w:rsidRPr="002F3479">
        <w:rPr>
          <w:rFonts w:asciiTheme="minorHAnsi" w:hAnsiTheme="minorHAnsi" w:cstheme="minorHAnsi"/>
          <w:color w:val="212121"/>
          <w:sz w:val="22"/>
        </w:rPr>
        <w:t xml:space="preserve">marketingu i rezerwacji </w:t>
      </w:r>
      <w:r w:rsidRPr="002F3479">
        <w:rPr>
          <w:rFonts w:asciiTheme="minorHAnsi" w:hAnsiTheme="minorHAnsi" w:cstheme="minorHAnsi"/>
          <w:color w:val="212121"/>
          <w:sz w:val="22"/>
        </w:rPr>
        <w:t>on-line</w:t>
      </w:r>
      <w:r w:rsidR="00643E76">
        <w:rPr>
          <w:rFonts w:asciiTheme="minorHAnsi" w:hAnsiTheme="minorHAnsi" w:cstheme="minorHAnsi"/>
          <w:color w:val="212121"/>
          <w:sz w:val="22"/>
        </w:rPr>
        <w:t>.</w:t>
      </w:r>
      <w:r w:rsidRPr="002F3479">
        <w:rPr>
          <w:rFonts w:asciiTheme="minorHAnsi" w:hAnsiTheme="minorHAnsi" w:cstheme="minorHAnsi"/>
          <w:color w:val="212121"/>
          <w:sz w:val="22"/>
        </w:rPr>
        <w:t xml:space="preserve"> </w:t>
      </w:r>
      <w:r w:rsidR="00643E76">
        <w:rPr>
          <w:rFonts w:asciiTheme="minorHAnsi" w:hAnsiTheme="minorHAnsi" w:cstheme="minorHAnsi"/>
          <w:color w:val="212121"/>
          <w:sz w:val="22"/>
        </w:rPr>
        <w:t>P</w:t>
      </w:r>
      <w:r w:rsidRPr="002F3479">
        <w:rPr>
          <w:rFonts w:asciiTheme="minorHAnsi" w:hAnsiTheme="minorHAnsi" w:cstheme="minorHAnsi"/>
          <w:color w:val="212121"/>
          <w:sz w:val="22"/>
        </w:rPr>
        <w:t>oprawi</w:t>
      </w:r>
      <w:r w:rsidR="00643E76">
        <w:rPr>
          <w:rFonts w:asciiTheme="minorHAnsi" w:hAnsiTheme="minorHAnsi" w:cstheme="minorHAnsi"/>
          <w:color w:val="212121"/>
          <w:sz w:val="22"/>
        </w:rPr>
        <w:t>ą one</w:t>
      </w:r>
      <w:r w:rsidRPr="002F3479">
        <w:rPr>
          <w:rFonts w:asciiTheme="minorHAnsi" w:hAnsiTheme="minorHAnsi" w:cstheme="minorHAnsi"/>
          <w:color w:val="212121"/>
          <w:sz w:val="22"/>
        </w:rPr>
        <w:t xml:space="preserve"> dostęp do rynku i wydajność ponadnarodowej sieci przewodników wędkarskich, tablic tur</w:t>
      </w:r>
      <w:r>
        <w:rPr>
          <w:rFonts w:asciiTheme="minorHAnsi" w:hAnsiTheme="minorHAnsi" w:cstheme="minorHAnsi"/>
          <w:color w:val="212121"/>
          <w:sz w:val="22"/>
        </w:rPr>
        <w:t xml:space="preserve">ystycznych i </w:t>
      </w:r>
      <w:r w:rsidR="00643E76">
        <w:rPr>
          <w:rFonts w:asciiTheme="minorHAnsi" w:hAnsiTheme="minorHAnsi" w:cstheme="minorHAnsi"/>
          <w:color w:val="212121"/>
          <w:sz w:val="22"/>
        </w:rPr>
        <w:t>gmin</w:t>
      </w:r>
      <w:r w:rsidR="00643E76">
        <w:rPr>
          <w:rFonts w:asciiTheme="minorHAnsi" w:hAnsiTheme="minorHAnsi" w:cstheme="minorHAnsi"/>
          <w:color w:val="212121"/>
          <w:sz w:val="22"/>
        </w:rPr>
        <w:t xml:space="preserve"> </w:t>
      </w:r>
      <w:r>
        <w:rPr>
          <w:rFonts w:asciiTheme="minorHAnsi" w:hAnsiTheme="minorHAnsi" w:cstheme="minorHAnsi"/>
          <w:color w:val="212121"/>
          <w:sz w:val="22"/>
        </w:rPr>
        <w:t>przybrzeżnych;</w:t>
      </w:r>
    </w:p>
    <w:p w:rsidR="00643E76" w:rsidRDefault="002F3479" w:rsidP="002F3479">
      <w:pPr>
        <w:pStyle w:val="HTML-wstpniesformatowany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</w:rPr>
      </w:pPr>
      <w:r w:rsidRPr="00643E76">
        <w:rPr>
          <w:rFonts w:asciiTheme="minorHAnsi" w:hAnsiTheme="minorHAnsi" w:cstheme="minorHAnsi"/>
          <w:color w:val="212121"/>
          <w:sz w:val="22"/>
        </w:rPr>
        <w:t>PLAN DZIAŁAŃ TRANS</w:t>
      </w:r>
      <w:r w:rsidR="00643E76">
        <w:rPr>
          <w:rFonts w:asciiTheme="minorHAnsi" w:hAnsiTheme="minorHAnsi" w:cstheme="minorHAnsi"/>
          <w:color w:val="212121"/>
          <w:sz w:val="22"/>
        </w:rPr>
        <w:t>NARODOWYCH</w:t>
      </w:r>
      <w:r w:rsidRPr="00643E76">
        <w:rPr>
          <w:rFonts w:asciiTheme="minorHAnsi" w:hAnsiTheme="minorHAnsi" w:cstheme="minorHAnsi"/>
          <w:color w:val="212121"/>
          <w:sz w:val="22"/>
        </w:rPr>
        <w:t xml:space="preserve"> NA </w:t>
      </w:r>
      <w:r w:rsidR="00643E76">
        <w:rPr>
          <w:rFonts w:asciiTheme="minorHAnsi" w:hAnsiTheme="minorHAnsi" w:cstheme="minorHAnsi"/>
          <w:color w:val="212121"/>
          <w:sz w:val="22"/>
        </w:rPr>
        <w:t>RZECZ TURYSTYKI WĘDKARSKIEJ</w:t>
      </w:r>
      <w:r w:rsidRPr="00643E76">
        <w:rPr>
          <w:rFonts w:asciiTheme="minorHAnsi" w:hAnsiTheme="minorHAnsi" w:cstheme="minorHAnsi"/>
          <w:color w:val="212121"/>
          <w:sz w:val="22"/>
        </w:rPr>
        <w:t>, który zapewni wytyczne dla władz krajowych w celu wspierania zrównoważonego wzrostu gospodarczego i tworzenia miejsc pracy dzięki odpowiedniej polity</w:t>
      </w:r>
      <w:r w:rsidR="00643E76">
        <w:rPr>
          <w:rFonts w:asciiTheme="minorHAnsi" w:hAnsiTheme="minorHAnsi" w:cstheme="minorHAnsi"/>
          <w:color w:val="212121"/>
          <w:sz w:val="22"/>
        </w:rPr>
        <w:t>ce i dostosowaniom regulacyjnym;</w:t>
      </w:r>
    </w:p>
    <w:p w:rsidR="002F3479" w:rsidRPr="00643E76" w:rsidRDefault="002F3479" w:rsidP="002F3479">
      <w:pPr>
        <w:pStyle w:val="HTML-wstpniesformatowany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</w:rPr>
      </w:pPr>
      <w:r w:rsidRPr="00643E76">
        <w:rPr>
          <w:rFonts w:asciiTheme="minorHAnsi" w:hAnsiTheme="minorHAnsi" w:cstheme="minorHAnsi"/>
          <w:color w:val="212121"/>
          <w:sz w:val="22"/>
        </w:rPr>
        <w:t xml:space="preserve">"NAJLEPSZA PRAKTYKA" </w:t>
      </w:r>
      <w:r w:rsidR="00643E76">
        <w:rPr>
          <w:rFonts w:asciiTheme="minorHAnsi" w:hAnsiTheme="minorHAnsi" w:cstheme="minorHAnsi"/>
          <w:color w:val="212121"/>
          <w:sz w:val="22"/>
        </w:rPr>
        <w:t xml:space="preserve">I </w:t>
      </w:r>
      <w:r w:rsidRPr="00643E76">
        <w:rPr>
          <w:rFonts w:asciiTheme="minorHAnsi" w:hAnsiTheme="minorHAnsi" w:cstheme="minorHAnsi"/>
          <w:color w:val="212121"/>
          <w:sz w:val="22"/>
        </w:rPr>
        <w:t xml:space="preserve">ROZWIĄZANIA DLA EFEKTYWNYCH ŚRODKÓW </w:t>
      </w:r>
      <w:r w:rsidR="00643E76">
        <w:rPr>
          <w:rFonts w:asciiTheme="minorHAnsi" w:hAnsiTheme="minorHAnsi" w:cstheme="minorHAnsi"/>
          <w:color w:val="212121"/>
          <w:sz w:val="22"/>
        </w:rPr>
        <w:t>PRZYWRÓCENIA WARTOŚCI DLA RZEK, W KTÓRYCH ŻYJĄ TROCIE</w:t>
      </w:r>
      <w:r w:rsidRPr="00643E76">
        <w:rPr>
          <w:rFonts w:asciiTheme="minorHAnsi" w:hAnsiTheme="minorHAnsi" w:cstheme="minorHAnsi"/>
          <w:color w:val="212121"/>
          <w:sz w:val="22"/>
        </w:rPr>
        <w:t xml:space="preserve">, rozpowszechnianych za pośrednictwem projektów demonstracyjnych i </w:t>
      </w:r>
      <w:r w:rsidR="00643E76">
        <w:rPr>
          <w:rFonts w:asciiTheme="minorHAnsi" w:hAnsiTheme="minorHAnsi" w:cstheme="minorHAnsi"/>
          <w:color w:val="212121"/>
          <w:sz w:val="22"/>
        </w:rPr>
        <w:t>„b</w:t>
      </w:r>
      <w:r w:rsidRPr="00643E76">
        <w:rPr>
          <w:rFonts w:asciiTheme="minorHAnsi" w:hAnsiTheme="minorHAnsi" w:cstheme="minorHAnsi"/>
          <w:color w:val="212121"/>
          <w:sz w:val="22"/>
        </w:rPr>
        <w:t>ałtyckiego zestawu narzędzi do renowacji rzek</w:t>
      </w:r>
      <w:r w:rsidR="00643E76">
        <w:rPr>
          <w:rFonts w:asciiTheme="minorHAnsi" w:hAnsiTheme="minorHAnsi" w:cstheme="minorHAnsi"/>
          <w:color w:val="212121"/>
          <w:sz w:val="22"/>
        </w:rPr>
        <w:t>”</w:t>
      </w:r>
      <w:r w:rsidRPr="00643E76">
        <w:rPr>
          <w:rFonts w:asciiTheme="minorHAnsi" w:hAnsiTheme="minorHAnsi" w:cstheme="minorHAnsi"/>
          <w:color w:val="212121"/>
          <w:sz w:val="22"/>
        </w:rPr>
        <w:t>, który zapewni wytyczne dla</w:t>
      </w:r>
      <w:r w:rsidR="00643E76">
        <w:rPr>
          <w:rFonts w:asciiTheme="minorHAnsi" w:hAnsiTheme="minorHAnsi" w:cstheme="minorHAnsi"/>
          <w:color w:val="212121"/>
          <w:sz w:val="22"/>
        </w:rPr>
        <w:t xml:space="preserve"> władz krajowych i regionalnych oraz</w:t>
      </w:r>
      <w:r w:rsidRPr="00643E76">
        <w:rPr>
          <w:rFonts w:asciiTheme="minorHAnsi" w:hAnsiTheme="minorHAnsi" w:cstheme="minorHAnsi"/>
          <w:color w:val="212121"/>
          <w:sz w:val="22"/>
        </w:rPr>
        <w:t xml:space="preserve"> najlepsz</w:t>
      </w:r>
      <w:r w:rsidR="00643E76">
        <w:rPr>
          <w:rFonts w:asciiTheme="minorHAnsi" w:hAnsiTheme="minorHAnsi" w:cstheme="minorHAnsi"/>
          <w:color w:val="212121"/>
          <w:sz w:val="22"/>
        </w:rPr>
        <w:t>e</w:t>
      </w:r>
      <w:r w:rsidRPr="00643E76">
        <w:rPr>
          <w:rFonts w:asciiTheme="minorHAnsi" w:hAnsiTheme="minorHAnsi" w:cstheme="minorHAnsi"/>
          <w:color w:val="212121"/>
          <w:sz w:val="22"/>
        </w:rPr>
        <w:t xml:space="preserve"> praktyk</w:t>
      </w:r>
      <w:r w:rsidR="00643E76">
        <w:rPr>
          <w:rFonts w:asciiTheme="minorHAnsi" w:hAnsiTheme="minorHAnsi" w:cstheme="minorHAnsi"/>
          <w:color w:val="212121"/>
          <w:sz w:val="22"/>
        </w:rPr>
        <w:t>i i rozwiązania</w:t>
      </w:r>
      <w:r w:rsidRPr="00643E76">
        <w:rPr>
          <w:rFonts w:asciiTheme="minorHAnsi" w:hAnsiTheme="minorHAnsi" w:cstheme="minorHAnsi"/>
          <w:color w:val="212121"/>
          <w:sz w:val="22"/>
        </w:rPr>
        <w:t xml:space="preserve"> (np. </w:t>
      </w:r>
      <w:r w:rsidR="00643E76">
        <w:rPr>
          <w:rFonts w:asciiTheme="minorHAnsi" w:hAnsiTheme="minorHAnsi" w:cstheme="minorHAnsi"/>
          <w:color w:val="212121"/>
          <w:sz w:val="22"/>
        </w:rPr>
        <w:t>d</w:t>
      </w:r>
      <w:r w:rsidRPr="00643E76">
        <w:rPr>
          <w:rFonts w:asciiTheme="minorHAnsi" w:hAnsiTheme="minorHAnsi" w:cstheme="minorHAnsi"/>
          <w:color w:val="212121"/>
          <w:sz w:val="22"/>
        </w:rPr>
        <w:t>otycząc</w:t>
      </w:r>
      <w:r w:rsidR="00643E76">
        <w:rPr>
          <w:rFonts w:asciiTheme="minorHAnsi" w:hAnsiTheme="minorHAnsi" w:cstheme="minorHAnsi"/>
          <w:color w:val="212121"/>
          <w:sz w:val="22"/>
        </w:rPr>
        <w:t>e komunikacji). Poprawią one</w:t>
      </w:r>
      <w:r w:rsidRPr="00643E76">
        <w:rPr>
          <w:rFonts w:asciiTheme="minorHAnsi" w:hAnsiTheme="minorHAnsi" w:cstheme="minorHAnsi"/>
          <w:color w:val="212121"/>
          <w:sz w:val="22"/>
        </w:rPr>
        <w:t xml:space="preserve"> zdrowie ekosystemów, </w:t>
      </w:r>
      <w:r w:rsidR="00643E76">
        <w:rPr>
          <w:rFonts w:asciiTheme="minorHAnsi" w:hAnsiTheme="minorHAnsi" w:cstheme="minorHAnsi"/>
          <w:color w:val="212121"/>
          <w:sz w:val="22"/>
        </w:rPr>
        <w:t>będą</w:t>
      </w:r>
      <w:r w:rsidRPr="00643E76">
        <w:rPr>
          <w:rFonts w:asciiTheme="minorHAnsi" w:hAnsiTheme="minorHAnsi" w:cstheme="minorHAnsi"/>
          <w:color w:val="212121"/>
          <w:sz w:val="22"/>
        </w:rPr>
        <w:t xml:space="preserve"> opłacalne i wydajne w produkcji zasobów rybnych.</w:t>
      </w:r>
    </w:p>
    <w:p w:rsidR="002F3479" w:rsidRPr="002F3479" w:rsidRDefault="002F3479" w:rsidP="002F3479">
      <w:pPr>
        <w:pStyle w:val="HTML-wstpniesformatowany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</w:rPr>
      </w:pPr>
    </w:p>
    <w:p w:rsidR="002F3479" w:rsidRPr="002F3479" w:rsidRDefault="002F3479" w:rsidP="002F3479">
      <w:pPr>
        <w:pStyle w:val="HTML-wstpniesformatowany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</w:rPr>
      </w:pPr>
      <w:r w:rsidRPr="002F3479">
        <w:rPr>
          <w:rFonts w:asciiTheme="minorHAnsi" w:hAnsiTheme="minorHAnsi" w:cstheme="minorHAnsi"/>
          <w:color w:val="212121"/>
          <w:sz w:val="22"/>
        </w:rPr>
        <w:t>Więcej informacji:</w:t>
      </w:r>
    </w:p>
    <w:p w:rsidR="002F3479" w:rsidRPr="002F3479" w:rsidRDefault="00643E76" w:rsidP="002F3479">
      <w:pPr>
        <w:pStyle w:val="HTML-wstpniesformatowany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</w:rPr>
      </w:pPr>
      <w:r>
        <w:rPr>
          <w:rFonts w:asciiTheme="minorHAnsi" w:hAnsiTheme="minorHAnsi" w:cstheme="minorHAnsi"/>
          <w:color w:val="212121"/>
          <w:sz w:val="22"/>
        </w:rPr>
        <w:t>info[at]</w:t>
      </w:r>
      <w:r w:rsidR="002F3479" w:rsidRPr="002F3479">
        <w:rPr>
          <w:rFonts w:asciiTheme="minorHAnsi" w:hAnsiTheme="minorHAnsi" w:cstheme="minorHAnsi"/>
          <w:color w:val="212121"/>
          <w:sz w:val="22"/>
        </w:rPr>
        <w:t>eu-consult.pl</w:t>
      </w:r>
    </w:p>
    <w:p w:rsidR="002F3479" w:rsidRPr="002F3479" w:rsidRDefault="002F3479" w:rsidP="002F3479">
      <w:pPr>
        <w:pStyle w:val="HTML-wstpniesformatowany"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:rsidR="002F3479" w:rsidRDefault="002F3479"/>
    <w:p w:rsidR="00643E76" w:rsidRDefault="00643E76">
      <w:r>
        <w:rPr>
          <w:noProof/>
          <w:lang w:eastAsia="pl-PL"/>
        </w:rPr>
        <w:drawing>
          <wp:inline distT="0" distB="0" distL="0" distR="0" wp14:anchorId="4608B15C" wp14:editId="5688ED90">
            <wp:extent cx="4985974" cy="2667000"/>
            <wp:effectExtent l="0" t="0" r="5715" b="0"/>
            <wp:docPr id="8" name="Bildobjekt 8" descr="\\lansstyrelsen.se\home\sto\720429-001\My Documents\2018\retrout_word_a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lansstyrelsen.se\home\sto\720429-001\My Documents\2018\retrout_word_a5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412" cy="270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3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22D1A"/>
    <w:multiLevelType w:val="hybridMultilevel"/>
    <w:tmpl w:val="1346D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F5A9C"/>
    <w:multiLevelType w:val="hybridMultilevel"/>
    <w:tmpl w:val="B02C0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79"/>
    <w:rsid w:val="002B0BC8"/>
    <w:rsid w:val="002F3479"/>
    <w:rsid w:val="003E1F9F"/>
    <w:rsid w:val="00643E76"/>
    <w:rsid w:val="007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251B2-8187-42FD-983E-ECBB8541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F3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F347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F3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EU-Consult sp. z o.o.</dc:creator>
  <cp:keywords/>
  <dc:description/>
  <cp:lastModifiedBy>EU-Consult sp. z o.o.</cp:lastModifiedBy>
  <cp:revision>1</cp:revision>
  <dcterms:created xsi:type="dcterms:W3CDTF">2018-07-24T08:30:00Z</dcterms:created>
  <dcterms:modified xsi:type="dcterms:W3CDTF">2018-07-24T08:45:00Z</dcterms:modified>
</cp:coreProperties>
</file>